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1B3" w14:textId="183D400F" w:rsidR="00D46E57" w:rsidRPr="00FA1CD0" w:rsidRDefault="00D46E57" w:rsidP="00D46E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A1CD0">
        <w:rPr>
          <w:rFonts w:ascii="Arial" w:hAnsi="Arial" w:cs="Arial"/>
          <w:b/>
          <w:bCs/>
          <w:sz w:val="36"/>
          <w:szCs w:val="36"/>
        </w:rPr>
        <w:t>INFORMATIVO SOBRE A MIGRAÇÃO AO MERCADO LIVRE</w:t>
      </w:r>
    </w:p>
    <w:p w14:paraId="628EC1DF" w14:textId="04B3EC5A" w:rsidR="00FA1CD0" w:rsidRDefault="00D46E57" w:rsidP="00127C6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A1CD0">
        <w:rPr>
          <w:rFonts w:ascii="Arial" w:hAnsi="Arial" w:cs="Arial"/>
          <w:sz w:val="20"/>
          <w:szCs w:val="20"/>
        </w:rPr>
        <w:t xml:space="preserve">A solicitação de migração ao ambiente de contratação livre, </w:t>
      </w:r>
      <w:r w:rsidR="00BB65CA">
        <w:rPr>
          <w:rFonts w:ascii="Arial" w:hAnsi="Arial" w:cs="Arial"/>
          <w:sz w:val="20"/>
          <w:szCs w:val="20"/>
        </w:rPr>
        <w:t xml:space="preserve">se aplica somente a consumidores potencialmente livres, inclusive especiais que satisfaçam os requisitos regulatórios da Agência Nacional de Energia Elétrica – ANEEL e todo procedimento possui prazos pré-estabelecidos, assim como as devidas responsabilidades divididas entre consumidor, a distribuidora e a Câmara de Comercialização de Energia Elétrica - CCEE, conforme cronograma de etapas que segue: </w:t>
      </w:r>
    </w:p>
    <w:p w14:paraId="65EF4389" w14:textId="4FF97BF8" w:rsidR="00127C6E" w:rsidRPr="00BB65CA" w:rsidRDefault="00EA7F51" w:rsidP="00BB65C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B28E536" wp14:editId="5CE1A509">
            <wp:simplePos x="0" y="0"/>
            <wp:positionH relativeFrom="column">
              <wp:posOffset>9525</wp:posOffset>
            </wp:positionH>
            <wp:positionV relativeFrom="paragraph">
              <wp:posOffset>238760</wp:posOffset>
            </wp:positionV>
            <wp:extent cx="6645910" cy="4347845"/>
            <wp:effectExtent l="0" t="0" r="2540" b="0"/>
            <wp:wrapSquare wrapText="bothSides"/>
            <wp:docPr id="1286252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52530" name="Imagem 12862525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CA" w:rsidRPr="00BB65CA">
        <w:rPr>
          <w:rFonts w:ascii="Arial" w:hAnsi="Arial" w:cs="Arial"/>
          <w:b/>
          <w:bCs/>
          <w:sz w:val="20"/>
          <w:szCs w:val="20"/>
        </w:rPr>
        <w:t>CRONOGRAMA DE ETAPAS:</w:t>
      </w:r>
    </w:p>
    <w:p w14:paraId="1A160FA2" w14:textId="7FB4A3B6" w:rsidR="00127C6E" w:rsidRPr="00127C6E" w:rsidRDefault="00364324" w:rsidP="00127C6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C33D1" wp14:editId="58B1D0EA">
                <wp:simplePos x="0" y="0"/>
                <wp:positionH relativeFrom="margin">
                  <wp:posOffset>-38100</wp:posOffset>
                </wp:positionH>
                <wp:positionV relativeFrom="paragraph">
                  <wp:posOffset>4513580</wp:posOffset>
                </wp:positionV>
                <wp:extent cx="6657975" cy="600075"/>
                <wp:effectExtent l="0" t="0" r="28575" b="28575"/>
                <wp:wrapNone/>
                <wp:docPr id="167189482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015C2" id="Retângulo 2" o:spid="_x0000_s1026" style="position:absolute;margin-left:-3pt;margin-top:355.4pt;width:52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20DA2BFC" w14:textId="09ACCDDC" w:rsidR="00FA1CD0" w:rsidRPr="00D457A3" w:rsidRDefault="00127C6E" w:rsidP="002A18ED">
      <w:pPr>
        <w:pStyle w:val="NormalWeb"/>
        <w:spacing w:before="0" w:beforeAutospacing="0" w:after="0" w:afterAutospacing="0"/>
        <w:ind w:right="1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D457A3">
        <w:rPr>
          <w:rFonts w:ascii="Arial" w:hAnsi="Arial" w:cs="Arial"/>
          <w:i/>
          <w:iCs/>
          <w:color w:val="FF0000"/>
          <w:sz w:val="20"/>
          <w:szCs w:val="20"/>
        </w:rPr>
        <w:t xml:space="preserve">Demais dúvidas e informações poder ser verificadas no documento de Orientação Técnica de Distribuição (OTD – </w:t>
      </w:r>
      <w:r w:rsidR="00364324" w:rsidRPr="00D457A3">
        <w:rPr>
          <w:rFonts w:ascii="Arial" w:hAnsi="Arial" w:cs="Arial"/>
          <w:i/>
          <w:iCs/>
          <w:color w:val="FF0000"/>
          <w:sz w:val="20"/>
          <w:szCs w:val="20"/>
        </w:rPr>
        <w:t>035.01.09</w:t>
      </w:r>
      <w:r w:rsidRPr="00D457A3">
        <w:rPr>
          <w:rFonts w:ascii="Arial" w:hAnsi="Arial" w:cs="Arial"/>
          <w:i/>
          <w:iCs/>
          <w:color w:val="FF0000"/>
          <w:sz w:val="20"/>
          <w:szCs w:val="20"/>
        </w:rPr>
        <w:t xml:space="preserve">) disponível em (link do site da cooperativa ou da </w:t>
      </w:r>
      <w:proofErr w:type="spellStart"/>
      <w:r w:rsidRPr="00D457A3">
        <w:rPr>
          <w:rFonts w:ascii="Arial" w:hAnsi="Arial" w:cs="Arial"/>
          <w:i/>
          <w:iCs/>
          <w:color w:val="FF0000"/>
          <w:sz w:val="20"/>
          <w:szCs w:val="20"/>
        </w:rPr>
        <w:t>Fecoergs</w:t>
      </w:r>
      <w:proofErr w:type="spellEnd"/>
      <w:r w:rsidRPr="00D457A3">
        <w:rPr>
          <w:rFonts w:ascii="Arial" w:hAnsi="Arial" w:cs="Arial"/>
          <w:i/>
          <w:iCs/>
          <w:color w:val="FF0000"/>
          <w:sz w:val="20"/>
          <w:szCs w:val="20"/>
        </w:rPr>
        <w:t xml:space="preserve">) ou com o serviço de atendimento ao consumidor através do 0800 </w:t>
      </w:r>
      <w:r w:rsidR="00295FF7" w:rsidRPr="00D457A3">
        <w:rPr>
          <w:rFonts w:ascii="Arial" w:hAnsi="Arial" w:cs="Arial"/>
          <w:i/>
          <w:iCs/>
          <w:color w:val="FF0000"/>
          <w:sz w:val="20"/>
          <w:szCs w:val="20"/>
        </w:rPr>
        <w:t>051 3130</w:t>
      </w:r>
      <w:r w:rsidRPr="00D457A3">
        <w:rPr>
          <w:rFonts w:ascii="Arial" w:hAnsi="Arial" w:cs="Arial"/>
          <w:i/>
          <w:iCs/>
          <w:color w:val="FF0000"/>
          <w:sz w:val="20"/>
          <w:szCs w:val="20"/>
        </w:rPr>
        <w:t xml:space="preserve"> ou ainda pelo WhatsApp (</w:t>
      </w:r>
      <w:r w:rsidR="00295FF7" w:rsidRPr="00D457A3">
        <w:rPr>
          <w:rFonts w:ascii="Arial" w:hAnsi="Arial" w:cs="Arial"/>
          <w:i/>
          <w:iCs/>
          <w:color w:val="FF0000"/>
          <w:sz w:val="20"/>
          <w:szCs w:val="20"/>
        </w:rPr>
        <w:t>55</w:t>
      </w:r>
      <w:r w:rsidRPr="00D457A3">
        <w:rPr>
          <w:rFonts w:ascii="Arial" w:hAnsi="Arial" w:cs="Arial"/>
          <w:i/>
          <w:iCs/>
          <w:color w:val="FF0000"/>
          <w:sz w:val="20"/>
          <w:szCs w:val="20"/>
        </w:rPr>
        <w:t xml:space="preserve">) </w:t>
      </w:r>
      <w:r w:rsidR="00295FF7" w:rsidRPr="00D457A3">
        <w:rPr>
          <w:rFonts w:ascii="Arial" w:hAnsi="Arial" w:cs="Arial"/>
          <w:i/>
          <w:iCs/>
          <w:color w:val="FF0000"/>
          <w:sz w:val="20"/>
          <w:szCs w:val="20"/>
        </w:rPr>
        <w:t>3331-9101.</w:t>
      </w:r>
    </w:p>
    <w:p w14:paraId="704225DE" w14:textId="329006ED" w:rsidR="00FA1CD0" w:rsidRDefault="00FA1CD0" w:rsidP="00FA1CD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1D74E3" w14:textId="00C1FB71" w:rsidR="00FA1CD0" w:rsidRDefault="00FA1CD0" w:rsidP="00FA1CD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5E3E6B2" w14:textId="7B1A1B40" w:rsidR="00D46E57" w:rsidRPr="00FA1CD0" w:rsidRDefault="00FA1CD0" w:rsidP="00FA1CD0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FA1CD0">
        <w:rPr>
          <w:rFonts w:ascii="Arial" w:hAnsi="Arial" w:cs="Arial"/>
          <w:b/>
          <w:bCs/>
          <w:color w:val="FF0000"/>
          <w:sz w:val="20"/>
          <w:szCs w:val="20"/>
        </w:rPr>
        <w:t xml:space="preserve">Aos </w:t>
      </w:r>
      <w:r w:rsidR="00D46E57" w:rsidRPr="00FA1CD0">
        <w:rPr>
          <w:rFonts w:ascii="Arial" w:hAnsi="Arial" w:cs="Arial"/>
          <w:b/>
          <w:bCs/>
          <w:color w:val="FF0000"/>
          <w:sz w:val="20"/>
          <w:szCs w:val="20"/>
        </w:rPr>
        <w:t>consumidores com geração própria de energia:</w:t>
      </w:r>
    </w:p>
    <w:p w14:paraId="363ED55F" w14:textId="0AE77471" w:rsidR="00D46E57" w:rsidRDefault="00D46E57" w:rsidP="00FA1C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8F9E94" w14:textId="41C205CB" w:rsidR="00D46E57" w:rsidRPr="00D46E57" w:rsidRDefault="00D46E57" w:rsidP="00FA1CD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46E57">
        <w:rPr>
          <w:rFonts w:ascii="Arial" w:hAnsi="Arial" w:cs="Arial"/>
          <w:color w:val="000000"/>
          <w:sz w:val="20"/>
          <w:szCs w:val="20"/>
        </w:rPr>
        <w:t>Conforme previsto na REN 1000/21 da ANEEL, no art</w:t>
      </w:r>
      <w:r w:rsidRPr="00FA1CD0">
        <w:rPr>
          <w:rFonts w:ascii="Arial" w:hAnsi="Arial" w:cs="Arial"/>
          <w:color w:val="000000"/>
          <w:sz w:val="20"/>
          <w:szCs w:val="20"/>
        </w:rPr>
        <w:t>. 6º §2º,</w:t>
      </w:r>
      <w:r w:rsidRPr="00D46E57">
        <w:rPr>
          <w:rFonts w:ascii="Arial" w:hAnsi="Arial" w:cs="Arial"/>
          <w:color w:val="000000"/>
          <w:sz w:val="20"/>
          <w:szCs w:val="20"/>
        </w:rPr>
        <w:t xml:space="preserve"> o CONSUMIDOR que possuir sistema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geração de energia, após se tornar CONSUMIDOR</w:t>
      </w:r>
      <w:r>
        <w:rPr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LIVRE, não poderá participar do sistema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compensação dos créditos de energia elétrica e deverá adequar seu ponto de conexão junto 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DISTRIBUIDORA</w:t>
      </w:r>
      <w:r>
        <w:rPr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para isolar a geração de energia e impedir a injeção de energia no sistema elétrico 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DISTRIBUIDORA</w:t>
      </w:r>
      <w:r w:rsidR="00FA1CD0">
        <w:rPr>
          <w:rFonts w:ascii="Arial" w:hAnsi="Arial" w:cs="Arial"/>
          <w:color w:val="000000"/>
          <w:sz w:val="20"/>
          <w:szCs w:val="20"/>
        </w:rPr>
        <w:t>.</w:t>
      </w:r>
    </w:p>
    <w:p w14:paraId="237FCCF8" w14:textId="77777777" w:rsidR="00D46E57" w:rsidRDefault="00D46E57" w:rsidP="00FA1C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DDAE25A" w14:textId="3E408509" w:rsidR="00D46E57" w:rsidRDefault="00D46E57" w:rsidP="00FA1CD0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1CD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1)</w:t>
      </w:r>
      <w:r w:rsidRPr="00D46E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1CD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CONSUMIDOR LIVRE com paralelismo de gerador</w:t>
      </w:r>
      <w:r w:rsidR="00FA1C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que desejar permanecer com a central geradora em paralelismo com a rede de</w:t>
      </w:r>
      <w:r>
        <w:rPr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distribuição de energia, limitando-se ao atendimento/suprimento da carga interna à unidade consumidora, deverá providenciar o envio e</w:t>
      </w:r>
      <w:r>
        <w:rPr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 xml:space="preserve">implementação do Estudo de Proteção e Seletividade com </w:t>
      </w:r>
      <w:r w:rsidRPr="00D46E57">
        <w:rPr>
          <w:rFonts w:ascii="Arial" w:hAnsi="Arial" w:cs="Arial"/>
          <w:color w:val="000000"/>
          <w:sz w:val="20"/>
          <w:szCs w:val="20"/>
        </w:rPr>
        <w:lastRenderedPageBreak/>
        <w:t>novos ajustes do relé de proteção e eventuais adequações da rede elétrica que atende</w:t>
      </w:r>
      <w:r>
        <w:rPr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 xml:space="preserve">à unidade consumidora conforme prevê </w:t>
      </w:r>
      <w:r w:rsidRPr="00334B95">
        <w:rPr>
          <w:rFonts w:ascii="Arial" w:hAnsi="Arial" w:cs="Arial"/>
          <w:color w:val="000000"/>
          <w:sz w:val="20"/>
          <w:szCs w:val="20"/>
        </w:rPr>
        <w:t>a norma técnica</w:t>
      </w:r>
      <w:r w:rsidRPr="00D46E5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E57">
        <w:rPr>
          <w:rFonts w:ascii="Arial" w:hAnsi="Arial" w:cs="Arial"/>
          <w:color w:val="000000"/>
          <w:sz w:val="20"/>
          <w:szCs w:val="20"/>
        </w:rPr>
        <w:t>A atividade deve ser finalizada antes do mês de migração ao ACL. Não será possível efetivar a migração enquanto a proteção não estiver adequada.</w:t>
      </w:r>
    </w:p>
    <w:p w14:paraId="05A3585F" w14:textId="77777777" w:rsidR="00D46E57" w:rsidRPr="00D46E57" w:rsidRDefault="00D46E57" w:rsidP="00FA1CD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35A4A2D5" w14:textId="080790D6" w:rsidR="00FA1CD0" w:rsidRPr="00FA1CD0" w:rsidRDefault="00D46E57" w:rsidP="00FA1CD0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1CD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2) CONSUMIDOR LIVRE com autoprodução de energia</w:t>
      </w:r>
      <w:r w:rsidR="00FA1CD0">
        <w:rPr>
          <w:rFonts w:ascii="Arial" w:hAnsi="Arial" w:cs="Arial"/>
          <w:color w:val="000000"/>
          <w:sz w:val="20"/>
          <w:szCs w:val="20"/>
        </w:rPr>
        <w:t xml:space="preserve"> que </w:t>
      </w:r>
      <w:r w:rsidRPr="00D46E57">
        <w:rPr>
          <w:rFonts w:ascii="Arial" w:hAnsi="Arial" w:cs="Arial"/>
          <w:color w:val="000000"/>
          <w:sz w:val="20"/>
          <w:szCs w:val="20"/>
        </w:rPr>
        <w:t>tenha a intenção de modelar tanto seu consumo (CONSUMIDOR) quanto sua geração (AUTOPRODUTOR) no ambiente de contratação livre será considerado como GERADOR, e nesse caso é preciso contatar o consultor de negócios responsável.</w:t>
      </w:r>
    </w:p>
    <w:sectPr w:rsidR="00FA1CD0" w:rsidRPr="00FA1CD0" w:rsidSect="00FA1CD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077F" w14:textId="77777777" w:rsidR="0089458D" w:rsidRDefault="0089458D" w:rsidP="00FA1CD0">
      <w:pPr>
        <w:spacing w:after="0" w:line="240" w:lineRule="auto"/>
      </w:pPr>
      <w:r>
        <w:separator/>
      </w:r>
    </w:p>
  </w:endnote>
  <w:endnote w:type="continuationSeparator" w:id="0">
    <w:p w14:paraId="350F8BCB" w14:textId="77777777" w:rsidR="0089458D" w:rsidRDefault="0089458D" w:rsidP="00FA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41F5" w14:textId="77777777" w:rsidR="00334B95" w:rsidRPr="004615F1" w:rsidRDefault="00334B95" w:rsidP="00334B95">
    <w:pPr>
      <w:pStyle w:val="Corpodetexto3"/>
    </w:pPr>
  </w:p>
  <w:p w14:paraId="20822621" w14:textId="761B34AC" w:rsidR="00334B95" w:rsidRPr="00586325" w:rsidRDefault="00334B95" w:rsidP="00334B95">
    <w:pPr>
      <w:pStyle w:val="Corpodetexto3"/>
      <w:rPr>
        <w:bCs/>
        <w:sz w:val="16"/>
        <w:szCs w:val="16"/>
      </w:rPr>
    </w:pPr>
    <w:r w:rsidRPr="00334B95">
      <w:rPr>
        <w:rStyle w:val="Nmerodepgina"/>
        <w:color w:val="385623" w:themeColor="accent6" w:themeShade="80"/>
        <w:sz w:val="16"/>
        <w:szCs w:val="16"/>
      </w:rPr>
      <w:t xml:space="preserve">Ijuí, </w:t>
    </w:r>
    <w:r w:rsidRPr="00334B95">
      <w:rPr>
        <w:rStyle w:val="Nmerodepgina"/>
        <w:color w:val="385623" w:themeColor="accent6" w:themeShade="80"/>
        <w:sz w:val="16"/>
        <w:szCs w:val="16"/>
      </w:rPr>
      <w:t>13</w:t>
    </w:r>
    <w:r w:rsidRPr="00334B95">
      <w:rPr>
        <w:rStyle w:val="Nmerodepgina"/>
        <w:color w:val="385623" w:themeColor="accent6" w:themeShade="80"/>
        <w:sz w:val="16"/>
        <w:szCs w:val="16"/>
      </w:rPr>
      <w:t xml:space="preserve"> de dezembro de 2023                          </w:t>
    </w:r>
    <w:r w:rsidRPr="00334B95">
      <w:rPr>
        <w:rStyle w:val="Nmerodepgina"/>
        <w:color w:val="385623" w:themeColor="accent6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  <w:r w:rsidRPr="00334B95">
      <w:rPr>
        <w:rStyle w:val="Nmerodepgina"/>
        <w:color w:val="385623" w:themeColor="accent6" w:themeShade="80"/>
        <w:sz w:val="16"/>
        <w:szCs w:val="16"/>
      </w:rPr>
      <w:t xml:space="preserve">Página </w:t>
    </w:r>
    <w:r w:rsidRPr="00334B95">
      <w:rPr>
        <w:rStyle w:val="Nmerodepgina"/>
        <w:color w:val="385623" w:themeColor="accent6" w:themeShade="80"/>
        <w:sz w:val="16"/>
        <w:szCs w:val="16"/>
      </w:rPr>
      <w:fldChar w:fldCharType="begin"/>
    </w:r>
    <w:r w:rsidRPr="00334B95">
      <w:rPr>
        <w:rStyle w:val="Nmerodepgina"/>
        <w:color w:val="385623" w:themeColor="accent6" w:themeShade="80"/>
        <w:sz w:val="16"/>
        <w:szCs w:val="16"/>
      </w:rPr>
      <w:instrText xml:space="preserve"> PAGE   \* MERGEFORMAT </w:instrText>
    </w:r>
    <w:r w:rsidRPr="00334B95">
      <w:rPr>
        <w:rStyle w:val="Nmerodepgina"/>
        <w:color w:val="385623" w:themeColor="accent6" w:themeShade="80"/>
        <w:sz w:val="16"/>
        <w:szCs w:val="16"/>
      </w:rPr>
      <w:fldChar w:fldCharType="separate"/>
    </w:r>
    <w:r w:rsidRPr="00334B95">
      <w:rPr>
        <w:rStyle w:val="Nmerodepgina"/>
        <w:color w:val="385623" w:themeColor="accent6" w:themeShade="80"/>
        <w:sz w:val="16"/>
        <w:szCs w:val="16"/>
      </w:rPr>
      <w:t>1</w:t>
    </w:r>
    <w:r w:rsidRPr="00334B95">
      <w:rPr>
        <w:rStyle w:val="Nmerodepgina"/>
        <w:color w:val="385623" w:themeColor="accent6" w:themeShade="80"/>
        <w:sz w:val="16"/>
        <w:szCs w:val="16"/>
      </w:rPr>
      <w:fldChar w:fldCharType="end"/>
    </w:r>
    <w:r w:rsidRPr="00334B95">
      <w:rPr>
        <w:rStyle w:val="Nmerodepgina"/>
        <w:color w:val="385623" w:themeColor="accent6" w:themeShade="80"/>
        <w:sz w:val="16"/>
        <w:szCs w:val="16"/>
      </w:rPr>
      <w:t xml:space="preserve"> de </w:t>
    </w:r>
    <w:r w:rsidRPr="00334B95">
      <w:rPr>
        <w:rStyle w:val="Nmerodepgina"/>
        <w:color w:val="385623" w:themeColor="accent6" w:themeShade="80"/>
        <w:sz w:val="16"/>
        <w:szCs w:val="16"/>
      </w:rPr>
      <w:fldChar w:fldCharType="begin"/>
    </w:r>
    <w:r w:rsidRPr="00334B95">
      <w:rPr>
        <w:rStyle w:val="Nmerodepgina"/>
        <w:color w:val="385623" w:themeColor="accent6" w:themeShade="80"/>
        <w:sz w:val="16"/>
        <w:szCs w:val="16"/>
      </w:rPr>
      <w:instrText xml:space="preserve"> SECTIONPAGES   \* MERGEFORMAT </w:instrText>
    </w:r>
    <w:r w:rsidRPr="00334B95">
      <w:rPr>
        <w:rStyle w:val="Nmerodepgina"/>
        <w:color w:val="385623" w:themeColor="accent6" w:themeShade="80"/>
        <w:sz w:val="16"/>
        <w:szCs w:val="16"/>
      </w:rPr>
      <w:fldChar w:fldCharType="separate"/>
    </w:r>
    <w:r w:rsidR="00D457A3">
      <w:rPr>
        <w:rStyle w:val="Nmerodepgina"/>
        <w:noProof/>
        <w:color w:val="385623" w:themeColor="accent6" w:themeShade="80"/>
        <w:sz w:val="16"/>
        <w:szCs w:val="16"/>
      </w:rPr>
      <w:t>2</w:t>
    </w:r>
    <w:r w:rsidRPr="00334B95">
      <w:rPr>
        <w:rStyle w:val="Nmerodepgina"/>
        <w:color w:val="385623" w:themeColor="accent6" w:themeShade="80"/>
        <w:sz w:val="16"/>
        <w:szCs w:val="16"/>
      </w:rPr>
      <w:fldChar w:fldCharType="end"/>
    </w:r>
  </w:p>
  <w:p w14:paraId="6635216B" w14:textId="77777777" w:rsidR="00334B95" w:rsidRDefault="00334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5AAB" w14:textId="77777777" w:rsidR="0089458D" w:rsidRDefault="0089458D" w:rsidP="00FA1CD0">
      <w:pPr>
        <w:spacing w:after="0" w:line="240" w:lineRule="auto"/>
      </w:pPr>
      <w:r>
        <w:separator/>
      </w:r>
    </w:p>
  </w:footnote>
  <w:footnote w:type="continuationSeparator" w:id="0">
    <w:p w14:paraId="1247BAF5" w14:textId="77777777" w:rsidR="0089458D" w:rsidRDefault="0089458D" w:rsidP="00FA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66D2" w14:textId="773B73C3" w:rsidR="00FA1CD0" w:rsidRDefault="00334B95" w:rsidP="00FA1CD0">
    <w:pPr>
      <w:pStyle w:val="Cabealho"/>
      <w:jc w:val="center"/>
    </w:pPr>
    <w:r w:rsidRPr="00127660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6D5EAE9" wp14:editId="37A1D9BE">
          <wp:simplePos x="0" y="0"/>
          <wp:positionH relativeFrom="page">
            <wp:posOffset>612140</wp:posOffset>
          </wp:positionH>
          <wp:positionV relativeFrom="page">
            <wp:posOffset>97155</wp:posOffset>
          </wp:positionV>
          <wp:extent cx="6159600" cy="1065600"/>
          <wp:effectExtent l="0" t="0" r="0" b="1270"/>
          <wp:wrapTopAndBottom/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 OFÍCIO distribuiç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57"/>
    <w:rsid w:val="00102CBD"/>
    <w:rsid w:val="00127C6E"/>
    <w:rsid w:val="0023018D"/>
    <w:rsid w:val="0027764C"/>
    <w:rsid w:val="00295FF7"/>
    <w:rsid w:val="002A18ED"/>
    <w:rsid w:val="00334B95"/>
    <w:rsid w:val="00364324"/>
    <w:rsid w:val="00715F72"/>
    <w:rsid w:val="0089458D"/>
    <w:rsid w:val="009C032C"/>
    <w:rsid w:val="00AD4D84"/>
    <w:rsid w:val="00B83F6A"/>
    <w:rsid w:val="00BB65CA"/>
    <w:rsid w:val="00C81E2E"/>
    <w:rsid w:val="00CD2AAD"/>
    <w:rsid w:val="00D457A3"/>
    <w:rsid w:val="00D46E57"/>
    <w:rsid w:val="00EA7F51"/>
    <w:rsid w:val="00ED38CB"/>
    <w:rsid w:val="00F80384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B64B9"/>
  <w15:chartTrackingRefBased/>
  <w15:docId w15:val="{BD86B76B-DBA8-4B60-9E90-DB122EA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A1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CD0"/>
  </w:style>
  <w:style w:type="paragraph" w:styleId="Rodap">
    <w:name w:val="footer"/>
    <w:basedOn w:val="Normal"/>
    <w:link w:val="RodapChar"/>
    <w:uiPriority w:val="99"/>
    <w:unhideWhenUsed/>
    <w:rsid w:val="00FA1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CD0"/>
  </w:style>
  <w:style w:type="paragraph" w:styleId="Corpodetexto3">
    <w:name w:val="Body Text 3"/>
    <w:basedOn w:val="Normal"/>
    <w:link w:val="Corpodetexto3Char"/>
    <w:rsid w:val="00334B95"/>
    <w:pPr>
      <w:spacing w:after="0" w:line="240" w:lineRule="auto"/>
      <w:jc w:val="both"/>
    </w:pPr>
    <w:rPr>
      <w:rFonts w:ascii="Arial" w:eastAsia="Times New Roman" w:hAnsi="Arial" w:cs="Arial"/>
      <w:snapToGrid w:val="0"/>
      <w:kern w:val="0"/>
      <w:sz w:val="24"/>
      <w:szCs w:val="21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334B95"/>
    <w:rPr>
      <w:rFonts w:ascii="Arial" w:eastAsia="Times New Roman" w:hAnsi="Arial" w:cs="Arial"/>
      <w:snapToGrid w:val="0"/>
      <w:kern w:val="0"/>
      <w:sz w:val="24"/>
      <w:szCs w:val="21"/>
      <w:lang w:eastAsia="pt-BR"/>
      <w14:ligatures w14:val="none"/>
    </w:rPr>
  </w:style>
  <w:style w:type="character" w:styleId="Nmerodepgina">
    <w:name w:val="page number"/>
    <w:basedOn w:val="Fontepargpadro"/>
    <w:rsid w:val="0033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Ribas</dc:creator>
  <cp:keywords/>
  <dc:description/>
  <cp:lastModifiedBy>Fernando Wielens</cp:lastModifiedBy>
  <cp:revision>9</cp:revision>
  <dcterms:created xsi:type="dcterms:W3CDTF">2023-09-22T18:25:00Z</dcterms:created>
  <dcterms:modified xsi:type="dcterms:W3CDTF">2023-12-13T19:01:00Z</dcterms:modified>
</cp:coreProperties>
</file>